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Introducere în Relațiile Internaționale (IRI)</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II</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rtl w:val="0"/>
        </w:rPr>
        <w:t xml:space="preserve">Conf. univ. dr. Ruxandra Ivan</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5</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O1: Utilizarea conceptelor fundamentale ale domeniului relaţiilor internaţionale pentru descrierea şi explicarea genezei şi derulării unor evenimente şi procese din politica internaţională;</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O2: Utilizarea conceptelor fundamentale din domeniul relaţiilor internationale pentru înţelegerea şi evaluarea evenimentelor şi proceselor din politica internaţională;</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O3: Utilizarea teoriilor relaţiilor internaţionale pentru interpretarea și evaluarea politicilor internaţionale;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O4: Utilizarea conceptelor fundamentale specifice domeniului relaţiilor internaţionale în interpretarea unor situaţii concrete din politica internaţională.</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r>
      <w:tr>
        <w:trPr>
          <w:cantSplit w:val="0"/>
          <w:tblHeader w:val="0"/>
        </w:trPr>
        <w:tc>
          <w:tcPr>
            <w:shd w:fill="auto"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Concepte fundamentale în ştiinţa politică</w:t>
            </w:r>
          </w:p>
        </w:tc>
      </w:tr>
      <w:tr>
        <w:trPr>
          <w:cantSplit w:val="0"/>
          <w:tblHeader w:val="0"/>
        </w:trPr>
        <w:tc>
          <w:tcPr>
            <w:shd w:fill="auto"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Istorie universală modernă și contemporană</w:t>
            </w:r>
          </w:p>
        </w:tc>
      </w:tr>
    </w:tbl>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Disciplina Introducere în relaţiile internaţionale vizează următoarele competenţe profesionale specifice programului de studiu:</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fundamentelor teoriilor relațiilor internaţionale în înţelegerea, analizarea şi evaluarea politicii internaţionale;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Utilizarea metodologiilor specifice domeniului relaţiilor internaţionale pentru analiza sistemelor internaţionale;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Proiectarea de strategii de politică externă şi internaţională în contexte locale, regionale, naţionale şi globale;</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Susţinerea şi promovarea valorilor democratice şi a culturii politice participative.</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iCs w:val="1"/>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Introducere în Relațiile Internaționale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9">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D">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2">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R3: Studentul/Absolventul identifică, prin apel la gândirea critică, punctele tari și punctele slabe ale soluțiilor alternative, concluziilor sau abordărilor problemelor.</w:t>
            </w:r>
          </w:p>
          <w:p w:rsidR="00000000" w:rsidDel="00000000" w:rsidP="00000000" w:rsidRDefault="00000000" w:rsidRPr="00000000" w14:paraId="0000005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4"/>
        <w:gridCol w:w="2460"/>
        <w:gridCol w:w="4123"/>
        <w:gridCol w:w="1365"/>
        <w:tblGridChange w:id="0">
          <w:tblGrid>
            <w:gridCol w:w="1114"/>
            <w:gridCol w:w="2460"/>
            <w:gridCol w:w="4123"/>
            <w:gridCol w:w="1365"/>
          </w:tblGrid>
        </w:tblGridChange>
      </w:tblGrid>
      <w:tr>
        <w:trPr>
          <w:cantSplit w:val="0"/>
          <w:trHeight w:val="338" w:hRule="atLeast"/>
          <w:tblHeader w:val="0"/>
        </w:trPr>
        <w:tc>
          <w:tcPr/>
          <w:p w:rsidR="00000000" w:rsidDel="00000000" w:rsidP="00000000" w:rsidRDefault="00000000" w:rsidRPr="00000000" w14:paraId="0000005B">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p w:rsidR="00000000" w:rsidDel="00000000" w:rsidP="00000000" w:rsidRDefault="00000000" w:rsidRPr="00000000" w14:paraId="0000005C">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w:t>
            </w:r>
          </w:p>
        </w:tc>
        <w:tc>
          <w:tcPr/>
          <w:p w:rsidR="00000000" w:rsidDel="00000000" w:rsidP="00000000" w:rsidRDefault="00000000" w:rsidRPr="00000000" w14:paraId="0000005D">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Conţinuturi</w:t>
            </w:r>
          </w:p>
        </w:tc>
        <w:tc>
          <w:tcPr/>
          <w:p w:rsidR="00000000" w:rsidDel="00000000" w:rsidP="00000000" w:rsidRDefault="00000000" w:rsidRPr="00000000" w14:paraId="0000005E">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5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w:t>
            </w:r>
          </w:p>
        </w:tc>
        <w:tc>
          <w:tcPr/>
          <w:p w:rsidR="00000000" w:rsidDel="00000000" w:rsidP="00000000" w:rsidRDefault="00000000" w:rsidRPr="00000000" w14:paraId="0000006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în structura cursului</w:t>
            </w:r>
          </w:p>
        </w:tc>
        <w:tc>
          <w:tcPr/>
          <w:p w:rsidR="00000000" w:rsidDel="00000000" w:rsidP="00000000" w:rsidRDefault="00000000" w:rsidRPr="00000000" w14:paraId="0000006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Structura cursului, calendarul, activităţile, bibliografia, modul de evaluare;</w:t>
            </w:r>
          </w:p>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Dubla accepţiune a termenului de relaţii internaţionale; diferența dintre relații internaționale și politică externă</w:t>
            </w:r>
          </w:p>
          <w:p w:rsidR="00000000" w:rsidDel="00000000" w:rsidP="00000000" w:rsidRDefault="00000000" w:rsidRPr="00000000" w14:paraId="0000006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Relaţiile Internaţionale (RI) -  domeniu al Ştiinţelor Politice;</w:t>
            </w:r>
          </w:p>
        </w:tc>
        <w:tc>
          <w:tcPr/>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SI=0h</w:t>
            </w:r>
          </w:p>
        </w:tc>
      </w:tr>
      <w:tr>
        <w:trPr>
          <w:cantSplit w:val="0"/>
          <w:tblHeader w:val="0"/>
        </w:trPr>
        <w:tc>
          <w:tcPr/>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w:t>
            </w:r>
          </w:p>
        </w:tc>
        <w:tc>
          <w:tcPr/>
          <w:p w:rsidR="00000000" w:rsidDel="00000000" w:rsidP="00000000" w:rsidRDefault="00000000" w:rsidRPr="00000000" w14:paraId="0000006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Noțiuni de bază în RI</w:t>
            </w:r>
          </w:p>
        </w:tc>
        <w:tc>
          <w:tcPr/>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Conceptele de actor internaţional, sistem internaţional, regim internaţional, nivel de analiză, anarhie sistemică, ierarhie, alianţă,  sistem de securitate colectivă, ordine internaţională, interdependenţă complexă, relaţii transnaţionale;</w:t>
            </w:r>
          </w:p>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Sisteme internaţionale premoderne, moderne  şi contemporane;</w:t>
            </w:r>
          </w:p>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Structură şi agență în sistemele internaţionale.</w:t>
            </w:r>
          </w:p>
        </w:tc>
        <w:tc>
          <w:tcPr/>
          <w:p w:rsidR="00000000" w:rsidDel="00000000" w:rsidP="00000000" w:rsidRDefault="00000000" w:rsidRPr="00000000" w14:paraId="0000006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[C3]</w:t>
            </w:r>
          </w:p>
        </w:tc>
        <w:tc>
          <w:tcPr/>
          <w:p w:rsidR="00000000" w:rsidDel="00000000" w:rsidP="00000000" w:rsidRDefault="00000000" w:rsidRPr="00000000" w14:paraId="0000006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Puterea în RI </w:t>
            </w:r>
          </w:p>
        </w:tc>
        <w:tc>
          <w:tcPr/>
          <w:p w:rsidR="00000000" w:rsidDel="00000000" w:rsidP="00000000" w:rsidRDefault="00000000" w:rsidRPr="00000000" w14:paraId="0000006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Accepțiuni ale conceptului de putere;</w:t>
            </w:r>
          </w:p>
          <w:p w:rsidR="00000000" w:rsidDel="00000000" w:rsidP="00000000" w:rsidRDefault="00000000" w:rsidRPr="00000000" w14:paraId="0000007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Echilibru de puteri;</w:t>
            </w:r>
          </w:p>
          <w:p w:rsidR="00000000" w:rsidDel="00000000" w:rsidP="00000000" w:rsidRDefault="00000000" w:rsidRPr="00000000" w14:paraId="0000007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componentele puterii;</w:t>
            </w:r>
          </w:p>
          <w:p w:rsidR="00000000" w:rsidDel="00000000" w:rsidP="00000000" w:rsidRDefault="00000000" w:rsidRPr="00000000" w14:paraId="0000007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Distribuţia puterii;</w:t>
            </w:r>
          </w:p>
          <w:p w:rsidR="00000000" w:rsidDel="00000000" w:rsidP="00000000" w:rsidRDefault="00000000" w:rsidRPr="00000000" w14:paraId="0000007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Fungibilitatea puterii; </w:t>
            </w:r>
          </w:p>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Ciclurile lungi în politica mondială. </w:t>
            </w:r>
          </w:p>
        </w:tc>
        <w:tc>
          <w:tcPr/>
          <w:p w:rsidR="00000000" w:rsidDel="00000000" w:rsidP="00000000" w:rsidRDefault="00000000" w:rsidRPr="00000000" w14:paraId="0000007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7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w:t>
            </w:r>
          </w:p>
        </w:tc>
        <w:tc>
          <w:tcPr/>
          <w:p w:rsidR="00000000" w:rsidDel="00000000" w:rsidP="00000000" w:rsidRDefault="00000000" w:rsidRPr="00000000" w14:paraId="0000007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Evoluţia sistemelor internaţionale (I)</w:t>
            </w:r>
          </w:p>
        </w:tc>
        <w:tc>
          <w:tcPr/>
          <w:p w:rsidR="00000000" w:rsidDel="00000000" w:rsidP="00000000" w:rsidRDefault="00000000" w:rsidRPr="00000000" w14:paraId="0000007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Evoluția sistemului internaţional între pacea de la Westfalia şi pacea de la Viena (1648-1815); inventarea suveranității ca normă fundamentală a sistemului internațional;</w:t>
            </w:r>
          </w:p>
          <w:p w:rsidR="00000000" w:rsidDel="00000000" w:rsidP="00000000" w:rsidRDefault="00000000" w:rsidRPr="00000000" w14:paraId="0000007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Evoluția sistemului internaţional în perioada “concertului european” (1815-1914).</w:t>
            </w:r>
          </w:p>
        </w:tc>
        <w:tc>
          <w:tcPr/>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7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w:t>
            </w:r>
          </w:p>
        </w:tc>
        <w:tc>
          <w:tcPr/>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Evoluţia sistemelor internaţionale (II)</w:t>
            </w:r>
          </w:p>
        </w:tc>
        <w:tc>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Evoluția sistemului internaţional în perioada interbelică (1919-1939);</w:t>
            </w:r>
          </w:p>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Critica “idealismului utopic”/ internaţionalismului liberal interbelic (E.H.Carr); </w:t>
            </w:r>
          </w:p>
          <w:p w:rsidR="00000000" w:rsidDel="00000000" w:rsidP="00000000" w:rsidRDefault="00000000" w:rsidRPr="00000000" w14:paraId="0000008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Sferele de influență în RI. Pactul Molotov-Ribbentrop (23 august 1939).</w:t>
            </w:r>
          </w:p>
        </w:tc>
        <w:tc>
          <w:tcPr/>
          <w:p w:rsidR="00000000" w:rsidDel="00000000" w:rsidP="00000000" w:rsidRDefault="00000000" w:rsidRPr="00000000" w14:paraId="0000008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w:t>
            </w:r>
          </w:p>
        </w:tc>
        <w:tc>
          <w:tcPr/>
          <w:p w:rsidR="00000000" w:rsidDel="00000000" w:rsidP="00000000" w:rsidRDefault="00000000" w:rsidRPr="00000000" w14:paraId="0000008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Evoluţia sistemelor internaţionale (III)</w:t>
            </w:r>
          </w:p>
        </w:tc>
        <w:tc>
          <w:tcPr/>
          <w:p w:rsidR="00000000" w:rsidDel="00000000" w:rsidP="00000000" w:rsidRDefault="00000000" w:rsidRPr="00000000" w14:paraId="0000008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Sferele de influență în RI. Acordul de procentaj Churchill-Stalin (9-19 octombrie 1944)</w:t>
            </w:r>
          </w:p>
          <w:p w:rsidR="00000000" w:rsidDel="00000000" w:rsidP="00000000" w:rsidRDefault="00000000" w:rsidRPr="00000000" w14:paraId="0000008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Caracteristicile ordinii bipolare;</w:t>
            </w:r>
          </w:p>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Evoluția sistemului internaţional în perioada Războiului Rece (1947-1991); </w:t>
            </w:r>
          </w:p>
          <w:p w:rsidR="00000000" w:rsidDel="00000000" w:rsidP="00000000" w:rsidRDefault="00000000" w:rsidRPr="00000000" w14:paraId="0000008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Crize majore în perioada Războiului Rece;</w:t>
            </w:r>
          </w:p>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Revoluţiile est-europene (1989-1991).</w:t>
            </w:r>
          </w:p>
        </w:tc>
        <w:tc>
          <w:tcPr/>
          <w:p w:rsidR="00000000" w:rsidDel="00000000" w:rsidP="00000000" w:rsidRDefault="00000000" w:rsidRPr="00000000" w14:paraId="0000008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w:t>
            </w:r>
          </w:p>
        </w:tc>
        <w:tc>
          <w:tcPr/>
          <w:p w:rsidR="00000000" w:rsidDel="00000000" w:rsidP="00000000" w:rsidRDefault="00000000" w:rsidRPr="00000000" w14:paraId="0000008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(I): Realismul</w:t>
            </w:r>
          </w:p>
        </w:tc>
        <w:tc>
          <w:tcPr/>
          <w:p w:rsidR="00000000" w:rsidDel="00000000" w:rsidP="00000000" w:rsidRDefault="00000000" w:rsidRPr="00000000" w14:paraId="0000008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Realismul clasic;</w:t>
            </w:r>
          </w:p>
          <w:p w:rsidR="00000000" w:rsidDel="00000000" w:rsidP="00000000" w:rsidRDefault="00000000" w:rsidRPr="00000000" w14:paraId="0000009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Echilibrul de puteri;</w:t>
            </w:r>
          </w:p>
          <w:p w:rsidR="00000000" w:rsidDel="00000000" w:rsidP="00000000" w:rsidRDefault="00000000" w:rsidRPr="00000000" w14:paraId="0000009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Echilibrul amenințărilor;</w:t>
            </w:r>
          </w:p>
          <w:p w:rsidR="00000000" w:rsidDel="00000000" w:rsidP="00000000" w:rsidRDefault="00000000" w:rsidRPr="00000000" w14:paraId="0000009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Realismul structural sau neorealismul;</w:t>
            </w:r>
          </w:p>
          <w:p w:rsidR="00000000" w:rsidDel="00000000" w:rsidP="00000000" w:rsidRDefault="00000000" w:rsidRPr="00000000" w14:paraId="0000009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Dilema prizonierului;</w:t>
            </w:r>
          </w:p>
          <w:p w:rsidR="00000000" w:rsidDel="00000000" w:rsidP="00000000" w:rsidRDefault="00000000" w:rsidRPr="00000000" w14:paraId="0000009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Realismul ofensiv vs. realismul defensiv;</w:t>
            </w:r>
          </w:p>
          <w:p w:rsidR="00000000" w:rsidDel="00000000" w:rsidP="00000000" w:rsidRDefault="00000000" w:rsidRPr="00000000" w14:paraId="0000009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Realismul neoclasic.</w:t>
            </w:r>
          </w:p>
        </w:tc>
        <w:tc>
          <w:tcPr/>
          <w:p w:rsidR="00000000" w:rsidDel="00000000" w:rsidP="00000000" w:rsidRDefault="00000000" w:rsidRPr="00000000" w14:paraId="0000009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p w:rsidR="00000000" w:rsidDel="00000000" w:rsidP="00000000" w:rsidRDefault="00000000" w:rsidRPr="00000000" w14:paraId="0000009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(II): Liberalismul</w:t>
            </w:r>
          </w:p>
        </w:tc>
        <w:tc>
          <w:tcPr/>
          <w:p w:rsidR="00000000" w:rsidDel="00000000" w:rsidP="00000000" w:rsidRDefault="00000000" w:rsidRPr="00000000" w14:paraId="0000009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Dezbaterea realism-idealism;</w:t>
            </w:r>
          </w:p>
          <w:p w:rsidR="00000000" w:rsidDel="00000000" w:rsidP="00000000" w:rsidRDefault="00000000" w:rsidRPr="00000000" w14:paraId="0000009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Liberalismul;</w:t>
            </w:r>
          </w:p>
          <w:p w:rsidR="00000000" w:rsidDel="00000000" w:rsidP="00000000" w:rsidRDefault="00000000" w:rsidRPr="00000000" w14:paraId="0000009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Neoliberalismul.</w:t>
            </w:r>
          </w:p>
        </w:tc>
        <w:tc>
          <w:tcPr/>
          <w:p w:rsidR="00000000" w:rsidDel="00000000" w:rsidP="00000000" w:rsidRDefault="00000000" w:rsidRPr="00000000" w14:paraId="0000009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p w:rsidR="00000000" w:rsidDel="00000000" w:rsidP="00000000" w:rsidRDefault="00000000" w:rsidRPr="00000000" w14:paraId="000000A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(III): Școala engleză și dezbaterea cu behaviorismul</w:t>
            </w:r>
          </w:p>
        </w:tc>
        <w:tc>
          <w:tcPr/>
          <w:p w:rsidR="00000000" w:rsidDel="00000000" w:rsidP="00000000" w:rsidRDefault="00000000" w:rsidRPr="00000000" w14:paraId="000000A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Şcoala engleză a teoriei RI;  </w:t>
            </w:r>
          </w:p>
          <w:p w:rsidR="00000000" w:rsidDel="00000000" w:rsidP="00000000" w:rsidRDefault="00000000" w:rsidRPr="00000000" w14:paraId="000000A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Cele 3 tradiţii de filosofie politică ce stau la baza societății internaționale; </w:t>
            </w:r>
          </w:p>
          <w:p w:rsidR="00000000" w:rsidDel="00000000" w:rsidP="00000000" w:rsidRDefault="00000000" w:rsidRPr="00000000" w14:paraId="000000A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Ordinea internaţională în viziunea şcolii engleze a teoriei RI.  </w:t>
            </w:r>
          </w:p>
        </w:tc>
        <w:tc>
          <w:tcPr/>
          <w:p w:rsidR="00000000" w:rsidDel="00000000" w:rsidP="00000000" w:rsidRDefault="00000000" w:rsidRPr="00000000" w14:paraId="000000A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p w:rsidR="00000000" w:rsidDel="00000000" w:rsidP="00000000" w:rsidRDefault="00000000" w:rsidRPr="00000000" w14:paraId="000000A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(IV): Constructivismul</w:t>
            </w:r>
          </w:p>
        </w:tc>
        <w:tc>
          <w:tcPr/>
          <w:p w:rsidR="00000000" w:rsidDel="00000000" w:rsidP="00000000" w:rsidRDefault="00000000" w:rsidRPr="00000000" w14:paraId="000000A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Constructivismul;</w:t>
            </w:r>
          </w:p>
          <w:p w:rsidR="00000000" w:rsidDel="00000000" w:rsidP="00000000" w:rsidRDefault="00000000" w:rsidRPr="00000000" w14:paraId="000000A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Importanța ideilor, culturii și percepțiilor;</w:t>
            </w:r>
          </w:p>
          <w:p w:rsidR="00000000" w:rsidDel="00000000" w:rsidP="00000000" w:rsidRDefault="00000000" w:rsidRPr="00000000" w14:paraId="000000A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Construcția socială a identităților de prieten/inamic.</w:t>
            </w:r>
          </w:p>
        </w:tc>
        <w:tc>
          <w:tcPr/>
          <w:p w:rsidR="00000000" w:rsidDel="00000000" w:rsidP="00000000" w:rsidRDefault="00000000" w:rsidRPr="00000000" w14:paraId="000000A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527" w:hRule="atLeast"/>
          <w:tblHeader w:val="0"/>
        </w:trPr>
        <w:tc>
          <w:tcPr/>
          <w:p w:rsidR="00000000" w:rsidDel="00000000" w:rsidP="00000000" w:rsidRDefault="00000000" w:rsidRPr="00000000" w14:paraId="000000A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(V): Reflectivismul</w:t>
            </w:r>
          </w:p>
        </w:tc>
        <w:tc>
          <w:tcPr/>
          <w:p w:rsidR="00000000" w:rsidDel="00000000" w:rsidP="00000000" w:rsidRDefault="00000000" w:rsidRPr="00000000" w14:paraId="000000A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Feminismul:</w:t>
            </w:r>
          </w:p>
          <w:p w:rsidR="00000000" w:rsidDel="00000000" w:rsidP="00000000" w:rsidRDefault="00000000" w:rsidRPr="00000000" w14:paraId="000000B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Poststructuralismul.</w:t>
            </w:r>
          </w:p>
        </w:tc>
        <w:tc>
          <w:tcPr/>
          <w:p w:rsidR="00000000" w:rsidDel="00000000" w:rsidP="00000000" w:rsidRDefault="00000000" w:rsidRPr="00000000" w14:paraId="000000B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B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500" w:hRule="atLeast"/>
          <w:tblHeader w:val="0"/>
        </w:trPr>
        <w:tc>
          <w:tcPr/>
          <w:p w:rsidR="00000000" w:rsidDel="00000000" w:rsidP="00000000" w:rsidRDefault="00000000" w:rsidRPr="00000000" w14:paraId="000000B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p w:rsidR="00000000" w:rsidDel="00000000" w:rsidP="00000000" w:rsidRDefault="00000000" w:rsidRPr="00000000" w14:paraId="000000B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Paradigme teoretice în RI (VI): Marxismul și neo-marxismul</w:t>
            </w:r>
          </w:p>
        </w:tc>
        <w:tc>
          <w:tcPr/>
          <w:p w:rsidR="00000000" w:rsidDel="00000000" w:rsidP="00000000" w:rsidRDefault="00000000" w:rsidRPr="00000000" w14:paraId="000000B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Marxismul; </w:t>
            </w:r>
          </w:p>
          <w:p w:rsidR="00000000" w:rsidDel="00000000" w:rsidP="00000000" w:rsidRDefault="00000000" w:rsidRPr="00000000" w14:paraId="000000B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Teoria critică a RI. </w:t>
            </w:r>
          </w:p>
        </w:tc>
        <w:tc>
          <w:tcPr/>
          <w:p w:rsidR="00000000" w:rsidDel="00000000" w:rsidP="00000000" w:rsidRDefault="00000000" w:rsidRPr="00000000" w14:paraId="000000B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B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p w:rsidR="00000000" w:rsidDel="00000000" w:rsidP="00000000" w:rsidRDefault="00000000" w:rsidRPr="00000000" w14:paraId="000000B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Globalizarea </w:t>
            </w:r>
          </w:p>
        </w:tc>
        <w:tc>
          <w:tcPr/>
          <w:p w:rsidR="00000000" w:rsidDel="00000000" w:rsidP="00000000" w:rsidRDefault="00000000" w:rsidRPr="00000000" w14:paraId="000000B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Şcoli de gândire privitoare la globalizare;</w:t>
            </w:r>
          </w:p>
          <w:p w:rsidR="00000000" w:rsidDel="00000000" w:rsidP="00000000" w:rsidRDefault="00000000" w:rsidRPr="00000000" w14:paraId="000000B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Definiţii ale globalizării; </w:t>
            </w:r>
          </w:p>
          <w:p w:rsidR="00000000" w:rsidDel="00000000" w:rsidP="00000000" w:rsidRDefault="00000000" w:rsidRPr="00000000" w14:paraId="000000B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Dimensiuni ale globalizării;</w:t>
            </w:r>
          </w:p>
          <w:p w:rsidR="00000000" w:rsidDel="00000000" w:rsidP="00000000" w:rsidRDefault="00000000" w:rsidRPr="00000000" w14:paraId="000000B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Aspecte ale globalizării;</w:t>
            </w:r>
          </w:p>
          <w:p w:rsidR="00000000" w:rsidDel="00000000" w:rsidP="00000000" w:rsidRDefault="00000000" w:rsidRPr="00000000" w14:paraId="000000B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Globalism versus suveranism. </w:t>
            </w:r>
          </w:p>
        </w:tc>
        <w:tc>
          <w:tcPr/>
          <w:p w:rsidR="00000000" w:rsidDel="00000000" w:rsidP="00000000" w:rsidRDefault="00000000" w:rsidRPr="00000000" w14:paraId="000000C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C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C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p w:rsidR="00000000" w:rsidDel="00000000" w:rsidP="00000000" w:rsidRDefault="00000000" w:rsidRPr="00000000" w14:paraId="000000C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Modele explicative pentru lumea secolului XXI</w:t>
            </w:r>
          </w:p>
        </w:tc>
        <w:tc>
          <w:tcPr/>
          <w:p w:rsidR="00000000" w:rsidDel="00000000" w:rsidP="00000000" w:rsidRDefault="00000000" w:rsidRPr="00000000" w14:paraId="000000C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Francis  Fukuyama; </w:t>
            </w:r>
          </w:p>
          <w:p w:rsidR="00000000" w:rsidDel="00000000" w:rsidP="00000000" w:rsidRDefault="00000000" w:rsidRPr="00000000" w14:paraId="000000C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Samuel Huntington; </w:t>
            </w:r>
          </w:p>
          <w:p w:rsidR="00000000" w:rsidDel="00000000" w:rsidP="00000000" w:rsidRDefault="00000000" w:rsidRPr="00000000" w14:paraId="000000C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Alvin şi Heidi Toffler; </w:t>
            </w:r>
          </w:p>
          <w:p w:rsidR="00000000" w:rsidDel="00000000" w:rsidP="00000000" w:rsidRDefault="00000000" w:rsidRPr="00000000" w14:paraId="000000C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Benjamin Barber; </w:t>
            </w:r>
          </w:p>
          <w:p w:rsidR="00000000" w:rsidDel="00000000" w:rsidP="00000000" w:rsidRDefault="00000000" w:rsidRPr="00000000" w14:paraId="000000C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Thomas Barnett.</w:t>
            </w:r>
          </w:p>
          <w:p w:rsidR="00000000" w:rsidDel="00000000" w:rsidP="00000000" w:rsidRDefault="00000000" w:rsidRPr="00000000" w14:paraId="000000C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propus de Yanis Varoufakis</w:t>
            </w:r>
          </w:p>
        </w:tc>
        <w:tc>
          <w:tcPr/>
          <w:p w:rsidR="00000000" w:rsidDel="00000000" w:rsidP="00000000" w:rsidRDefault="00000000" w:rsidRPr="00000000" w14:paraId="000000C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C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rHeight w:val="623" w:hRule="atLeast"/>
          <w:tblHeader w:val="0"/>
        </w:trPr>
        <w:tc>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D">
            <w:pPr>
              <w:spacing w:after="0" w:line="24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CE">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C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w:t>
            </w:r>
          </w:p>
          <w:p w:rsidR="00000000" w:rsidDel="00000000" w:rsidP="00000000" w:rsidRDefault="00000000" w:rsidRPr="00000000" w14:paraId="000000D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SI=41</w:t>
            </w:r>
          </w:p>
        </w:tc>
      </w:tr>
    </w:tbl>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400" w:firstLine="0"/>
        <w:rPr>
          <w:rFonts w:ascii="Times New Roman" w:cs="Times New Roman" w:eastAsia="Times New Roman" w:hAnsi="Times New Roman"/>
          <w:b w:val="1"/>
          <w:bCs w:val="1"/>
          <w:i w:val="1"/>
          <w:iCs w:val="1"/>
          <w:color w:val="000000"/>
        </w:rPr>
      </w:pPr>
      <w:r w:rsidDel="00000000" w:rsidR="00000000" w:rsidRPr="00000000">
        <w:rPr>
          <w:rtl w:val="0"/>
        </w:rPr>
      </w:r>
    </w:p>
    <w:p w:rsidR="00000000" w:rsidDel="00000000" w:rsidP="00000000" w:rsidRDefault="00000000" w:rsidRPr="00000000" w14:paraId="000000D3">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D4">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14"/>
        <w:gridCol w:w="2460"/>
        <w:gridCol w:w="4123"/>
        <w:gridCol w:w="1365"/>
        <w:tblGridChange w:id="0">
          <w:tblGrid>
            <w:gridCol w:w="1114"/>
            <w:gridCol w:w="2460"/>
            <w:gridCol w:w="4123"/>
            <w:gridCol w:w="1365"/>
          </w:tblGrid>
        </w:tblGridChange>
      </w:tblGrid>
      <w:tr>
        <w:trPr>
          <w:cantSplit w:val="0"/>
          <w:trHeight w:val="338" w:hRule="atLeast"/>
          <w:tblHeader w:val="0"/>
        </w:trPr>
        <w:tc>
          <w:tcPr/>
          <w:p w:rsidR="00000000" w:rsidDel="00000000" w:rsidP="00000000" w:rsidRDefault="00000000" w:rsidRPr="00000000" w14:paraId="000000D5">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p w:rsidR="00000000" w:rsidDel="00000000" w:rsidP="00000000" w:rsidRDefault="00000000" w:rsidRPr="00000000" w14:paraId="000000D6">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w:t>
            </w:r>
          </w:p>
        </w:tc>
        <w:tc>
          <w:tcPr/>
          <w:p w:rsidR="00000000" w:rsidDel="00000000" w:rsidP="00000000" w:rsidRDefault="00000000" w:rsidRPr="00000000" w14:paraId="000000D7">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Conţinuturi</w:t>
            </w:r>
          </w:p>
        </w:tc>
        <w:tc>
          <w:tcPr/>
          <w:p w:rsidR="00000000" w:rsidDel="00000000" w:rsidP="00000000" w:rsidRDefault="00000000" w:rsidRPr="00000000" w14:paraId="000000D8">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D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w:t>
            </w:r>
          </w:p>
        </w:tc>
        <w:tc>
          <w:tcPr/>
          <w:p w:rsidR="00000000" w:rsidDel="00000000" w:rsidP="00000000" w:rsidRDefault="00000000" w:rsidRPr="00000000" w14:paraId="000000D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w:t>
            </w:r>
          </w:p>
        </w:tc>
        <w:tc>
          <w:tcPr/>
          <w:p w:rsidR="00000000" w:rsidDel="00000000" w:rsidP="00000000" w:rsidRDefault="00000000" w:rsidRPr="00000000" w14:paraId="000000DB">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Introducerea temelor de seminar;</w:t>
            </w:r>
          </w:p>
          <w:p w:rsidR="00000000" w:rsidDel="00000000" w:rsidP="00000000" w:rsidRDefault="00000000" w:rsidRPr="00000000" w14:paraId="000000DC">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Prezentarea bibliografiei;</w:t>
            </w:r>
          </w:p>
          <w:p w:rsidR="00000000" w:rsidDel="00000000" w:rsidP="00000000" w:rsidRDefault="00000000" w:rsidRPr="00000000" w14:paraId="000000D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Definirea principalelor concepte ale RI: sistem internațional; actorii sistemului internațional; anarhia sistemică; nivelurile de analiză în RI.   </w:t>
            </w:r>
          </w:p>
        </w:tc>
        <w:tc>
          <w:tcPr/>
          <w:p w:rsidR="00000000" w:rsidDel="00000000" w:rsidP="00000000" w:rsidRDefault="00000000" w:rsidRPr="00000000" w14:paraId="000000D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0E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c>
          <w:tcPr/>
          <w:p w:rsidR="00000000" w:rsidDel="00000000" w:rsidP="00000000" w:rsidRDefault="00000000" w:rsidRPr="00000000" w14:paraId="000000E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Evoluţia sistemului internaţional</w:t>
            </w:r>
          </w:p>
        </w:tc>
        <w:tc>
          <w:tcPr/>
          <w:p w:rsidR="00000000" w:rsidDel="00000000" w:rsidP="00000000" w:rsidRDefault="00000000" w:rsidRPr="00000000" w14:paraId="000000E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Evoluția istorică a sistemului de state;</w:t>
            </w:r>
          </w:p>
          <w:p w:rsidR="00000000" w:rsidDel="00000000" w:rsidP="00000000" w:rsidRDefault="00000000" w:rsidRPr="00000000" w14:paraId="000000E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Emergența lumii occidentale;</w:t>
            </w:r>
          </w:p>
          <w:p w:rsidR="00000000" w:rsidDel="00000000" w:rsidP="00000000" w:rsidRDefault="00000000" w:rsidRPr="00000000" w14:paraId="000000E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Ciclurile lungi în politica mondială. </w:t>
            </w:r>
          </w:p>
        </w:tc>
        <w:tc>
          <w:tcPr/>
          <w:p w:rsidR="00000000" w:rsidDel="00000000" w:rsidP="00000000" w:rsidRDefault="00000000" w:rsidRPr="00000000" w14:paraId="000000E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E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0E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[S3]</w:t>
            </w:r>
          </w:p>
        </w:tc>
        <w:tc>
          <w:tcPr/>
          <w:p w:rsidR="00000000" w:rsidDel="00000000" w:rsidP="00000000" w:rsidRDefault="00000000" w:rsidRPr="00000000" w14:paraId="000000E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Realismul (I)</w:t>
            </w:r>
          </w:p>
        </w:tc>
        <w:tc>
          <w:tcPr/>
          <w:p w:rsidR="00000000" w:rsidDel="00000000" w:rsidP="00000000" w:rsidRDefault="00000000" w:rsidRPr="00000000" w14:paraId="000000E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Originile teoriei;</w:t>
            </w:r>
          </w:p>
          <w:p w:rsidR="00000000" w:rsidDel="00000000" w:rsidP="00000000" w:rsidRDefault="00000000" w:rsidRPr="00000000" w14:paraId="000000E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Realismul clasic </w:t>
            </w:r>
          </w:p>
        </w:tc>
        <w:tc>
          <w:tcPr/>
          <w:p w:rsidR="00000000" w:rsidDel="00000000" w:rsidP="00000000" w:rsidRDefault="00000000" w:rsidRPr="00000000" w14:paraId="000000E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E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0E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w:t>
            </w:r>
          </w:p>
        </w:tc>
        <w:tc>
          <w:tcPr/>
          <w:p w:rsidR="00000000" w:rsidDel="00000000" w:rsidP="00000000" w:rsidRDefault="00000000" w:rsidRPr="00000000" w14:paraId="000000E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Realismul (II)</w:t>
            </w:r>
          </w:p>
        </w:tc>
        <w:tc>
          <w:tcPr/>
          <w:p w:rsidR="00000000" w:rsidDel="00000000" w:rsidP="00000000" w:rsidRDefault="00000000" w:rsidRPr="00000000" w14:paraId="000000EF">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Teoria tranziției puterii; </w:t>
            </w:r>
          </w:p>
          <w:p w:rsidR="00000000" w:rsidDel="00000000" w:rsidP="00000000" w:rsidRDefault="00000000" w:rsidRPr="00000000" w14:paraId="000000F0">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Balanța ofensivă-defensivă; </w:t>
            </w:r>
          </w:p>
          <w:p w:rsidR="00000000" w:rsidDel="00000000" w:rsidP="00000000" w:rsidRDefault="00000000" w:rsidRPr="00000000" w14:paraId="000000F1">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Neorealismul (realismul structural defensiv - K. Waltz vs. realismul structural ofensiv - J. Mearsheimer); </w:t>
            </w:r>
          </w:p>
          <w:p w:rsidR="00000000" w:rsidDel="00000000" w:rsidP="00000000" w:rsidRDefault="00000000" w:rsidRPr="00000000" w14:paraId="000000F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373a3c"/>
                <w:highlight w:val="white"/>
                <w:rtl w:val="0"/>
              </w:rPr>
              <w:t xml:space="preserve">- Realismul neoclasic.</w:t>
            </w:r>
            <w:r w:rsidDel="00000000" w:rsidR="00000000" w:rsidRPr="00000000">
              <w:rPr>
                <w:rtl w:val="0"/>
              </w:rPr>
            </w:r>
          </w:p>
        </w:tc>
        <w:tc>
          <w:tcPr/>
          <w:p w:rsidR="00000000" w:rsidDel="00000000" w:rsidP="00000000" w:rsidRDefault="00000000" w:rsidRPr="00000000" w14:paraId="000000F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0F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w:t>
            </w:r>
          </w:p>
        </w:tc>
        <w:tc>
          <w:tcPr/>
          <w:p w:rsidR="00000000" w:rsidDel="00000000" w:rsidP="00000000" w:rsidRDefault="00000000" w:rsidRPr="00000000" w14:paraId="000000F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Liberalismul</w:t>
            </w:r>
          </w:p>
        </w:tc>
        <w:tc>
          <w:tcPr/>
          <w:p w:rsidR="00000000" w:rsidDel="00000000" w:rsidP="00000000" w:rsidRDefault="00000000" w:rsidRPr="00000000" w14:paraId="000000F7">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Originile teoriei; </w:t>
            </w:r>
          </w:p>
          <w:p w:rsidR="00000000" w:rsidDel="00000000" w:rsidP="00000000" w:rsidRDefault="00000000" w:rsidRPr="00000000" w14:paraId="000000F8">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Internationalismul liberal;  </w:t>
            </w:r>
          </w:p>
          <w:p w:rsidR="00000000" w:rsidDel="00000000" w:rsidP="00000000" w:rsidRDefault="00000000" w:rsidRPr="00000000" w14:paraId="000000F9">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Instituționalismul neoliberal (Robert Keohane și Joseph Nye); </w:t>
            </w:r>
          </w:p>
          <w:p w:rsidR="00000000" w:rsidDel="00000000" w:rsidP="00000000" w:rsidRDefault="00000000" w:rsidRPr="00000000" w14:paraId="000000FA">
            <w:pPr>
              <w:spacing w:after="0" w:line="240" w:lineRule="auto"/>
              <w:rPr>
                <w:rFonts w:ascii="Times New Roman" w:cs="Times New Roman" w:eastAsia="Times New Roman" w:hAnsi="Times New Roman"/>
                <w:color w:val="373a3c"/>
                <w:highlight w:val="white"/>
              </w:rPr>
            </w:pPr>
            <w:r w:rsidDel="00000000" w:rsidR="00000000" w:rsidRPr="00000000">
              <w:rPr>
                <w:rFonts w:ascii="Times New Roman" w:cs="Times New Roman" w:eastAsia="Times New Roman" w:hAnsi="Times New Roman"/>
                <w:color w:val="373a3c"/>
                <w:highlight w:val="white"/>
                <w:rtl w:val="0"/>
              </w:rPr>
              <w:t xml:space="preserve">- Teoria liberală a păcii democratice; </w:t>
            </w:r>
          </w:p>
          <w:p w:rsidR="00000000" w:rsidDel="00000000" w:rsidP="00000000" w:rsidRDefault="00000000" w:rsidRPr="00000000" w14:paraId="000000F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373a3c"/>
                <w:highlight w:val="white"/>
                <w:rtl w:val="0"/>
              </w:rPr>
              <w:t xml:space="preserve">- Neoliberalismul după sfârșitul Războiului Rece.</w:t>
            </w:r>
            <w:r w:rsidDel="00000000" w:rsidR="00000000" w:rsidRPr="00000000">
              <w:rPr>
                <w:rtl w:val="0"/>
              </w:rPr>
            </w:r>
          </w:p>
        </w:tc>
        <w:tc>
          <w:tcPr/>
          <w:p w:rsidR="00000000" w:rsidDel="00000000" w:rsidP="00000000" w:rsidRDefault="00000000" w:rsidRPr="00000000" w14:paraId="000000F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0F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[S6]</w:t>
            </w:r>
          </w:p>
        </w:tc>
        <w:tc>
          <w:tcPr/>
          <w:p w:rsidR="00000000" w:rsidDel="00000000" w:rsidP="00000000" w:rsidRDefault="00000000" w:rsidRPr="00000000" w14:paraId="000000F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Constructivismul și Feminismul</w:t>
            </w:r>
          </w:p>
        </w:tc>
        <w:tc>
          <w:tcPr/>
          <w:p w:rsidR="00000000" w:rsidDel="00000000" w:rsidP="00000000" w:rsidRDefault="00000000" w:rsidRPr="00000000" w14:paraId="0000010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Constructivismul;</w:t>
            </w:r>
          </w:p>
          <w:p w:rsidR="00000000" w:rsidDel="00000000" w:rsidP="00000000" w:rsidRDefault="00000000" w:rsidRPr="00000000" w14:paraId="0000010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Feminismul</w:t>
            </w:r>
          </w:p>
        </w:tc>
        <w:tc>
          <w:tcPr/>
          <w:p w:rsidR="00000000" w:rsidDel="00000000" w:rsidP="00000000" w:rsidRDefault="00000000" w:rsidRPr="00000000" w14:paraId="000001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blHeader w:val="0"/>
        </w:trPr>
        <w:tc>
          <w:tcPr/>
          <w:p w:rsidR="00000000" w:rsidDel="00000000" w:rsidP="00000000" w:rsidRDefault="00000000" w:rsidRPr="00000000" w14:paraId="000001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p w:rsidR="00000000" w:rsidDel="00000000" w:rsidP="00000000" w:rsidRDefault="00000000" w:rsidRPr="00000000" w14:paraId="000001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Marxismul și</w:t>
            </w:r>
          </w:p>
          <w:p w:rsidR="00000000" w:rsidDel="00000000" w:rsidP="00000000" w:rsidRDefault="00000000" w:rsidRPr="00000000" w14:paraId="000001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Teoria critică</w:t>
            </w:r>
          </w:p>
        </w:tc>
        <w:tc>
          <w:tcPr/>
          <w:p w:rsidR="00000000" w:rsidDel="00000000" w:rsidP="00000000" w:rsidRDefault="00000000" w:rsidRPr="00000000" w14:paraId="000001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Marxismul;</w:t>
            </w:r>
          </w:p>
          <w:p w:rsidR="00000000" w:rsidDel="00000000" w:rsidP="00000000" w:rsidRDefault="00000000" w:rsidRPr="00000000" w14:paraId="0000010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Teoria critică.</w:t>
            </w:r>
          </w:p>
        </w:tc>
        <w:tc>
          <w:tcPr/>
          <w:p w:rsidR="00000000" w:rsidDel="00000000" w:rsidP="00000000" w:rsidRDefault="00000000" w:rsidRPr="00000000" w14:paraId="0000010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10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SI=6h</w:t>
            </w:r>
          </w:p>
        </w:tc>
      </w:tr>
      <w:tr>
        <w:trPr>
          <w:cantSplit w:val="0"/>
          <w:trHeight w:val="623" w:hRule="atLeast"/>
          <w:tblHeader w:val="0"/>
        </w:trPr>
        <w:tc>
          <w:tcPr/>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C">
            <w:pPr>
              <w:spacing w:after="0" w:line="24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10D">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1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S=14h</w:t>
            </w:r>
          </w:p>
          <w:p w:rsidR="00000000" w:rsidDel="00000000" w:rsidP="00000000" w:rsidRDefault="00000000" w:rsidRPr="00000000" w14:paraId="0000010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SI=42h</w:t>
            </w:r>
          </w:p>
        </w:tc>
      </w:tr>
    </w:tbl>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1">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12">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11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11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11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11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11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shd w:fill="auto" w:val="clear"/>
          </w:tcPr>
          <w:p w:rsidR="00000000" w:rsidDel="00000000" w:rsidP="00000000" w:rsidRDefault="00000000" w:rsidRPr="00000000" w14:paraId="0000011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70%</w:t>
            </w:r>
          </w:p>
        </w:tc>
      </w:tr>
      <w:tr>
        <w:trPr>
          <w:cantSplit w:val="0"/>
          <w:tblHeader w:val="0"/>
        </w:trPr>
        <w:tc>
          <w:tcPr>
            <w:shd w:fill="auto" w:val="clear"/>
          </w:tcPr>
          <w:p w:rsidR="00000000" w:rsidDel="00000000" w:rsidP="00000000" w:rsidRDefault="00000000" w:rsidRPr="00000000" w14:paraId="0000011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11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1 test)</w:t>
            </w:r>
          </w:p>
        </w:tc>
        <w:tc>
          <w:tcPr>
            <w:shd w:fill="auto" w:val="clear"/>
          </w:tcPr>
          <w:p w:rsidR="00000000" w:rsidDel="00000000" w:rsidP="00000000" w:rsidRDefault="00000000" w:rsidRPr="00000000" w14:paraId="0000011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r>
    </w:tbl>
    <w:p w:rsidR="00000000" w:rsidDel="00000000" w:rsidP="00000000" w:rsidRDefault="00000000" w:rsidRPr="00000000" w14:paraId="0000011C">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1D">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1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1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2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2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Înţelegerea, utilizarea şi operaţionalizarea adecvată a următoarelor concepte:  sistem internaţional, actor international, putere, război, dilema securităţii, anarhie sistemică, nivel de analiză, ordine internațională.</w:t>
            </w:r>
          </w:p>
        </w:tc>
      </w:tr>
      <w:tr>
        <w:trPr>
          <w:cantSplit w:val="0"/>
          <w:trHeight w:val="315" w:hRule="atLeast"/>
          <w:tblHeader w:val="0"/>
        </w:trPr>
        <w:tc>
          <w:tcPr>
            <w:shd w:fill="auto" w:val="clear"/>
          </w:tcPr>
          <w:p w:rsidR="00000000" w:rsidDel="00000000" w:rsidP="00000000" w:rsidRDefault="00000000" w:rsidRPr="00000000" w14:paraId="0000012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2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Înţelegerea, utilizarea şi operaţionalizarea adecvată a următoarelor concepte: putere, actor statal, actor non-statal, putere dură (</w:t>
            </w:r>
            <w:r w:rsidDel="00000000" w:rsidR="00000000" w:rsidRPr="00000000">
              <w:rPr>
                <w:rFonts w:ascii="Times New Roman" w:cs="Times New Roman" w:eastAsia="Times New Roman" w:hAnsi="Times New Roman"/>
                <w:i w:val="1"/>
                <w:iCs w:val="1"/>
                <w:rtl w:val="0"/>
              </w:rPr>
              <w:t xml:space="preserve">hard power</w:t>
            </w:r>
            <w:r w:rsidDel="00000000" w:rsidR="00000000" w:rsidRPr="00000000">
              <w:rPr>
                <w:rFonts w:ascii="Times New Roman" w:cs="Times New Roman" w:eastAsia="Times New Roman" w:hAnsi="Times New Roman"/>
                <w:rtl w:val="0"/>
              </w:rPr>
              <w:t xml:space="preserve">), putere blândă (</w:t>
            </w:r>
            <w:r w:rsidDel="00000000" w:rsidR="00000000" w:rsidRPr="00000000">
              <w:rPr>
                <w:rFonts w:ascii="Times New Roman" w:cs="Times New Roman" w:eastAsia="Times New Roman" w:hAnsi="Times New Roman"/>
                <w:i w:val="1"/>
                <w:iCs w:val="1"/>
                <w:rtl w:val="0"/>
              </w:rPr>
              <w:t xml:space="preserve">soft power</w:t>
            </w:r>
            <w:r w:rsidDel="00000000" w:rsidR="00000000" w:rsidRPr="00000000">
              <w:rPr>
                <w:rFonts w:ascii="Times New Roman" w:cs="Times New Roman" w:eastAsia="Times New Roman" w:hAnsi="Times New Roman"/>
                <w:rtl w:val="0"/>
              </w:rPr>
              <w:t xml:space="preserve">), putere inteligentă (</w:t>
            </w:r>
            <w:r w:rsidDel="00000000" w:rsidR="00000000" w:rsidRPr="00000000">
              <w:rPr>
                <w:rFonts w:ascii="Times New Roman" w:cs="Times New Roman" w:eastAsia="Times New Roman" w:hAnsi="Times New Roman"/>
                <w:i w:val="1"/>
                <w:iCs w:val="1"/>
                <w:rtl w:val="0"/>
              </w:rPr>
              <w:t xml:space="preserve">smart power</w:t>
            </w:r>
            <w:r w:rsidDel="00000000" w:rsidR="00000000" w:rsidRPr="00000000">
              <w:rPr>
                <w:rFonts w:ascii="Times New Roman" w:cs="Times New Roman" w:eastAsia="Times New Roman" w:hAnsi="Times New Roman"/>
                <w:rtl w:val="0"/>
              </w:rPr>
              <w:t xml:space="preserve">), regim internaţional, alianţă, dilema prizonierului, interdependenţă complexă, comunitate de securitate, relaţii transnaţionale;</w:t>
            </w:r>
          </w:p>
          <w:p w:rsidR="00000000" w:rsidDel="00000000" w:rsidP="00000000" w:rsidRDefault="00000000" w:rsidRPr="00000000" w14:paraId="0000012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folosi teorii ale RI pentru a explica probleme și evoluții ale politicii internaţionale.</w:t>
            </w:r>
          </w:p>
        </w:tc>
      </w:tr>
    </w:tbl>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27">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28">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Strategia didactică folosită în cadrul cursului de Introducere în relaţiile internaţionale are în vedere fundamente constructiviste. Învăţarea este considerată a fi un proces activ şi explicit în care studenţii acumulează concepte noi folosind cunoaşterea lor prezentă. Cadrele didactice (titular curs şi coordonator seminar) îşi asumă transpunerea didactică – transformarea informaţiei de învăţat într-un format adaptat stării de înţelegere curentă a studenţilor/studentelor. Curriculumul este construit în aşa manieră încât studenţii/studentele pot construi noi cunoştinţe pe fundamentele celor deja învăţate. </w:t>
      </w:r>
    </w:p>
    <w:p w:rsidR="00000000" w:rsidDel="00000000" w:rsidP="00000000" w:rsidRDefault="00000000" w:rsidRPr="00000000" w14:paraId="00000129">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12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12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12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2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shd w:fill="auto" w:val="clear"/>
          </w:tcPr>
          <w:p w:rsidR="00000000" w:rsidDel="00000000" w:rsidP="00000000" w:rsidRDefault="00000000" w:rsidRPr="00000000" w14:paraId="0000012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2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130">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2">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   </w:t>
      </w:r>
    </w:p>
    <w:tbl>
      <w:tblPr>
        <w:tblStyle w:val="Table10"/>
        <w:tblpPr w:leftFromText="180" w:rightFromText="180" w:topFromText="0" w:bottomFromText="0" w:vertAnchor="text" w:horzAnchor="text" w:tblpX="0" w:tblpY="1178"/>
        <w:tblW w:w="9375.0" w:type="dxa"/>
        <w:jc w:val="left"/>
        <w:tblLayout w:type="fixed"/>
        <w:tblLook w:val="0000"/>
      </w:tblPr>
      <w:tblGrid>
        <w:gridCol w:w="270"/>
        <w:gridCol w:w="480"/>
        <w:gridCol w:w="1875"/>
        <w:gridCol w:w="4290"/>
        <w:gridCol w:w="2460"/>
        <w:tblGridChange w:id="0">
          <w:tblGrid>
            <w:gridCol w:w="270"/>
            <w:gridCol w:w="480"/>
            <w:gridCol w:w="1875"/>
            <w:gridCol w:w="4290"/>
            <w:gridCol w:w="2460"/>
          </w:tblGrid>
        </w:tblGridChange>
      </w:tblGrid>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spacing w:after="0" w:line="24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spacing w:after="0" w:line="240" w:lineRule="auto"/>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6">
            <w:pPr>
              <w:spacing w:after="0" w:line="24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spacing w:after="0" w:line="240" w:lineRule="auto"/>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Editură/ jurnal/an</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Buzan, Barry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Popoarele, statele şi teama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Cartier, 2000</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Buzan, Barry,  Richard Little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Sistemele internaţionale în istoria lumii. Reconfigurarea studiului relaţiilor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2009</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Baylis, John, Smith,  Steve (eds.)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Globalization of World Politics. An Introduction to International Relations, second edition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2001 </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Burchill, Scott </w:t>
            </w:r>
            <w:r w:rsidDel="00000000" w:rsidR="00000000" w:rsidRPr="00000000">
              <w:rPr>
                <w:rFonts w:ascii="Times New Roman" w:cs="Times New Roman" w:eastAsia="Times New Roman" w:hAnsi="Times New Roman"/>
                <w:i w:val="1"/>
                <w:iCs w:val="1"/>
                <w:rtl w:val="0"/>
              </w:rPr>
              <w:t xml:space="preserve">et 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Teorii ale Relațiilor Internaționale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Ed. Institutul European, Iași, 2008</w:t>
            </w:r>
            <w:r w:rsidDel="00000000" w:rsidR="00000000" w:rsidRPr="00000000">
              <w:rPr>
                <w:rtl w:val="0"/>
              </w:rPr>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Carr, Edward Hallet,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Criza celor douăzeci de ani (1919-1939). O introducere în studiul relaţiilor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2009</w:t>
            </w:r>
          </w:p>
        </w:tc>
      </w:tr>
      <w:tr>
        <w:trPr>
          <w:cantSplit w:val="0"/>
          <w:tblHeader w:val="0"/>
        </w:trPr>
        <w:tc>
          <w:tcPr/>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Dunne, Tim, Kurki, Milja, Smith, Steve (eds)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International Relations Theories: Discipline and Diversity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2007</w:t>
            </w:r>
          </w:p>
        </w:tc>
      </w:tr>
      <w:tr>
        <w:trPr>
          <w:cantSplit w:val="0"/>
          <w:tblHeader w:val="0"/>
        </w:trPr>
        <w:tc>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Gilpin, Robert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War and Change in International Politics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Cambridge University Press, 1999</w:t>
            </w:r>
            <w:r w:rsidDel="00000000" w:rsidR="00000000" w:rsidRPr="00000000">
              <w:rPr>
                <w:rtl w:val="0"/>
              </w:rPr>
            </w:r>
          </w:p>
        </w:tc>
      </w:tr>
      <w:tr>
        <w:trPr>
          <w:cantSplit w:val="0"/>
          <w:tblHeader w:val="0"/>
        </w:trPr>
        <w:tc>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Griffiths, Martin, O’Callaghan,  Terry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International Relations: The Key Concepts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Routledge, 2002</w:t>
            </w:r>
          </w:p>
        </w:tc>
      </w:tr>
      <w:tr>
        <w:trPr>
          <w:cantSplit w:val="0"/>
          <w:tblHeader w:val="0"/>
        </w:trPr>
        <w:tc>
          <w:tcPr/>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Griffiths, Martin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Relaţii internaţionale. Şcoli, curente, gânditori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Ziua, 2003</w:t>
            </w:r>
          </w:p>
        </w:tc>
      </w:tr>
      <w:tr>
        <w:trPr>
          <w:cantSplit w:val="0"/>
          <w:tblHeader w:val="0"/>
        </w:trPr>
        <w:tc>
          <w:tcPr/>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6">
            <w:pP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Jackson, Robert, Sørensen, Georg</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to International Relations: Theories and Approaches, fifth edition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2013</w:t>
            </w:r>
          </w:p>
        </w:tc>
      </w:tr>
      <w:tr>
        <w:trPr>
          <w:cantSplit w:val="0"/>
          <w:tblHeader w:val="0"/>
        </w:trPr>
        <w:tc>
          <w:tcPr/>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Ikenberry, G. John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Victory: Institutions, Strategic Restraint, and the Rebuilding of Order After Major Wars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Princeton University Press, 2001</w:t>
            </w:r>
          </w:p>
        </w:tc>
      </w:tr>
      <w:tr>
        <w:trPr>
          <w:cantSplit w:val="0"/>
          <w:tblHeader w:val="0"/>
        </w:trPr>
        <w:tc>
          <w:tcPr/>
          <w:p w:rsidR="00000000" w:rsidDel="00000000" w:rsidP="00000000" w:rsidRDefault="00000000" w:rsidRPr="00000000" w14:paraId="0000016F">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Ivan, Ruxandra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Direcții principale în studiul Relațiilor Internaționale în România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Institutul European, Iași, 2007</w:t>
            </w:r>
          </w:p>
        </w:tc>
      </w:tr>
      <w:tr>
        <w:trPr>
          <w:cantSplit w:val="0"/>
          <w:tblHeader w:val="0"/>
        </w:trPr>
        <w:tc>
          <w:tcPr/>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Kaufman, Joyce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to International Relations. Theory and Practice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Rowman &amp; Littlefield Publishers, 2013</w:t>
            </w:r>
          </w:p>
        </w:tc>
      </w:tr>
      <w:tr>
        <w:trPr>
          <w:cantSplit w:val="0"/>
          <w:tblHeader w:val="0"/>
        </w:trPr>
        <w:tc>
          <w:tcPr/>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Kennedy, Paul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Rise and Fall of the Great Powers: </w:t>
            </w:r>
            <w:r w:rsidDel="00000000" w:rsidR="00000000" w:rsidRPr="00000000">
              <w:rPr>
                <w:rFonts w:ascii="Times New Roman" w:cs="Times New Roman" w:eastAsia="Times New Roman" w:hAnsi="Times New Roman"/>
                <w:color w:val="202122"/>
                <w:highlight w:val="white"/>
                <w:rtl w:val="0"/>
              </w:rPr>
              <w:t xml:space="preserve">Economic Change and Military Conflict from 1500 to 2000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Random House, 1987</w:t>
            </w:r>
          </w:p>
        </w:tc>
      </w:tr>
      <w:tr>
        <w:trPr>
          <w:cantSplit w:val="0"/>
          <w:tblHeader w:val="0"/>
        </w:trPr>
        <w:tc>
          <w:tcPr/>
          <w:p w:rsidR="00000000" w:rsidDel="00000000" w:rsidP="00000000" w:rsidRDefault="00000000" w:rsidRPr="00000000" w14:paraId="0000017E">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Keohane, Robert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International Politics: Enduring Concepts and Contemporary Issues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Brooks, 2010</w:t>
            </w:r>
          </w:p>
        </w:tc>
      </w:tr>
      <w:tr>
        <w:trPr>
          <w:cantSplit w:val="0"/>
          <w:tblHeader w:val="0"/>
        </w:trPr>
        <w:tc>
          <w:tcPr/>
          <w:p w:rsidR="00000000" w:rsidDel="00000000" w:rsidP="00000000" w:rsidRDefault="00000000" w:rsidRPr="00000000" w14:paraId="00000183">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Kissinger, Henry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Diplomaţia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2003</w:t>
            </w:r>
          </w:p>
        </w:tc>
      </w:tr>
      <w:tr>
        <w:trPr>
          <w:cantSplit w:val="0"/>
          <w:tblHeader w:val="0"/>
        </w:trPr>
        <w:tc>
          <w:tcPr/>
          <w:p w:rsidR="00000000" w:rsidDel="00000000" w:rsidP="00000000" w:rsidRDefault="00000000" w:rsidRPr="00000000" w14:paraId="00000188">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Mearsheimer, John J.</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Tragedia politicii de forţă. Realismul ofensiv  şi  lupta pentru putere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Antet, 2003</w:t>
            </w:r>
          </w:p>
        </w:tc>
      </w:tr>
      <w:tr>
        <w:trPr>
          <w:cantSplit w:val="0"/>
          <w:tblHeader w:val="0"/>
        </w:trPr>
        <w:tc>
          <w:tcPr/>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Modelski, George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Long Cycles in World Politics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Macmillan Press, 1987</w:t>
            </w:r>
          </w:p>
        </w:tc>
      </w:tr>
      <w:tr>
        <w:trPr>
          <w:cantSplit w:val="0"/>
          <w:tblHeader w:val="0"/>
        </w:trPr>
        <w:tc>
          <w:tcPr/>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Miroiu, Andrei, Ungureanu, Radu-Sebastian (Coord.)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Manual de relaţii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6">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2006</w:t>
            </w:r>
          </w:p>
        </w:tc>
      </w:tr>
      <w:tr>
        <w:trPr>
          <w:cantSplit w:val="0"/>
          <w:tblHeader w:val="0"/>
        </w:trPr>
        <w:tc>
          <w:tcPr/>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Modelski,  George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Long Cycles in World Politics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spacing w:after="0" w:lineRule="auto"/>
              <w:ind w:left="-20" w:firstLine="2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University of Washington Press, 1987</w:t>
            </w:r>
            <w:r w:rsidDel="00000000" w:rsidR="00000000" w:rsidRPr="00000000">
              <w:rPr>
                <w:rtl w:val="0"/>
              </w:rPr>
            </w:r>
          </w:p>
        </w:tc>
      </w:tr>
      <w:tr>
        <w:trPr>
          <w:cantSplit w:val="0"/>
          <w:tblHeader w:val="0"/>
        </w:trPr>
        <w:tc>
          <w:tcPr/>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McGlinchey,  Stephen (Ed.)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International Relations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spacing w:after="0" w:lineRule="auto"/>
              <w:ind w:left="-20" w:firstLine="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E-International Relations Publishing, 2017</w:t>
            </w:r>
          </w:p>
          <w:p w:rsidR="00000000" w:rsidDel="00000000" w:rsidP="00000000" w:rsidRDefault="00000000" w:rsidRPr="00000000" w14:paraId="000001A1">
            <w:pPr>
              <w:spacing w:after="0" w:lineRule="auto"/>
              <w:ind w:left="-20" w:firstLine="20"/>
              <w:jc w:val="both"/>
              <w:rPr>
                <w:rFonts w:ascii="Times New Roman" w:cs="Times New Roman" w:eastAsia="Times New Roman" w:hAnsi="Times New Roman"/>
                <w:color w:val="000000"/>
              </w:rPr>
            </w:pPr>
            <w:hyperlink r:id="rId7">
              <w:r w:rsidDel="00000000" w:rsidR="00000000" w:rsidRPr="00000000">
                <w:rPr>
                  <w:rFonts w:ascii="Times New Roman" w:cs="Times New Roman" w:eastAsia="Times New Roman" w:hAnsi="Times New Roman"/>
                  <w:color w:val="0000ff"/>
                  <w:u w:val="single"/>
                  <w:rtl w:val="0"/>
                </w:rPr>
                <w:t xml:space="preserve">www.E-IR.info</w:t>
              </w:r>
            </w:hyperlink>
            <w:r w:rsidDel="00000000" w:rsidR="00000000" w:rsidRPr="00000000">
              <w:rPr>
                <w:rFonts w:ascii="Times New Roman" w:cs="Times New Roman" w:eastAsia="Times New Roman" w:hAnsi="Times New Roman"/>
                <w:color w:val="000000"/>
                <w:rtl w:val="0"/>
              </w:rPr>
              <w:t xml:space="preserve"> </w:t>
            </w:r>
          </w:p>
        </w:tc>
      </w:tr>
      <w:tr>
        <w:trPr>
          <w:cantSplit w:val="0"/>
          <w:tblHeader w:val="0"/>
        </w:trPr>
        <w:tc>
          <w:tcPr/>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Morgenthau, Hans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 între naţiuni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6">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2006</w:t>
            </w:r>
          </w:p>
        </w:tc>
      </w:tr>
      <w:tr>
        <w:trPr>
          <w:cantSplit w:val="0"/>
          <w:tblHeader w:val="0"/>
        </w:trPr>
        <w:tc>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Neumann, Iver, Waever,  Ole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Future of International Relations: Masters in the Making</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B">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Routledge, 1997</w:t>
            </w:r>
          </w:p>
        </w:tc>
      </w:tr>
      <w:tr>
        <w:trPr>
          <w:cantSplit w:val="0"/>
          <w:tblHeader w:val="0"/>
        </w:trPr>
        <w:tc>
          <w:tcPr/>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Nye, Joseph 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Descifrarea conflictelor internaţionale. Teorie şi istorie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Antet, 2005</w:t>
            </w:r>
          </w:p>
        </w:tc>
      </w:tr>
      <w:tr>
        <w:trPr>
          <w:cantSplit w:val="0"/>
          <w:tblHeader w:val="0"/>
        </w:trPr>
        <w:tc>
          <w:tcPr/>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Pop, Adrian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“Long Cycles and Anticipation”, în Roberto Poli (Ed.), Handbook of Anticipation: Theoretical and Applied Aspects of the Use of Future in Decision Making</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Springer, 2019</w:t>
            </w:r>
          </w:p>
        </w:tc>
      </w:tr>
      <w:tr>
        <w:trPr>
          <w:cantSplit w:val="0"/>
          <w:trHeight w:val="375" w:hRule="atLeast"/>
          <w:tblHeader w:val="0"/>
        </w:trPr>
        <w:tc>
          <w:tcPr/>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Reus-Smit Christian, Snidal,  Duncan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The Oxford Handbook of International Relations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Oxford University Press, 2008</w:t>
            </w:r>
            <w:r w:rsidDel="00000000" w:rsidR="00000000" w:rsidRPr="00000000">
              <w:rPr>
                <w:rtl w:val="0"/>
              </w:rPr>
            </w:r>
          </w:p>
        </w:tc>
      </w:tr>
      <w:tr>
        <w:trPr>
          <w:cantSplit w:val="0"/>
          <w:trHeight w:val="348" w:hRule="atLeast"/>
          <w:tblHeader w:val="0"/>
        </w:trPr>
        <w:tc>
          <w:tcPr/>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Waltz, Kenneth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Teoria politicii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2009</w:t>
            </w:r>
          </w:p>
        </w:tc>
      </w:tr>
      <w:tr>
        <w:trPr>
          <w:cantSplit w:val="0"/>
          <w:tblHeader w:val="0"/>
        </w:trPr>
        <w:tc>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Wendt, Alexander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Teoria socială a politicii internaţionale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C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Polirom, 2011</w:t>
            </w:r>
          </w:p>
        </w:tc>
      </w:tr>
    </w:tbl>
    <w:p w:rsidR="00000000" w:rsidDel="00000000" w:rsidP="00000000" w:rsidRDefault="00000000" w:rsidRPr="00000000" w14:paraId="000001C5">
      <w:pP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7">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C8">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Ruxandra Ivan</w:t>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Spacing">
    <w:name w:val="No Spacing"/>
    <w:uiPriority w:val="99"/>
    <w:qFormat w:val="1"/>
    <w:rsid w:val="006834BE"/>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ir.info"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4KY2mj3YD5C6YGXoQP/KOF4wLg==">CgMxLjA4AHIhMS10U2tkRW5vLVdwTU82WVVXNTRJWUdVVjNiMTd5U2Vh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2026-01-22T20:02:00Z</dcterms:created>
  <dc:creator>33</dc:creator>
</cp:coreProperties>
</file>